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A2" w:rsidRDefault="007409BA">
      <w:pPr>
        <w:widowControl/>
        <w:suppressAutoHyphens w:val="0"/>
        <w:textAlignment w:val="auto"/>
        <w:rPr>
          <w:rFonts w:hint="eastAsia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kern w:val="0"/>
          <w:sz w:val="22"/>
          <w:szCs w:val="22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2408557</wp:posOffset>
            </wp:positionH>
            <wp:positionV relativeFrom="paragraph">
              <wp:posOffset>10799</wp:posOffset>
            </wp:positionV>
            <wp:extent cx="1428750" cy="1261113"/>
            <wp:effectExtent l="0" t="0" r="0" b="0"/>
            <wp:wrapNone/>
            <wp:docPr id="1" name="Рисунок 2" descr="Описание: поссов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156" r="43071" b="263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1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B60A2" w:rsidRDefault="007409BA">
      <w:pPr>
        <w:spacing w:line="216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6210933" cy="9442414"/>
            <wp:effectExtent l="0" t="0" r="0" b="6386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933" cy="9442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60A2" w:rsidRDefault="00FB60A2">
      <w:pPr>
        <w:spacing w:line="216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B60A2" w:rsidRDefault="00FB60A2">
      <w:pPr>
        <w:widowControl/>
        <w:suppressAutoHyphens w:val="0"/>
        <w:ind w:left="5940"/>
        <w:jc w:val="right"/>
        <w:textAlignment w:val="auto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FB60A2" w:rsidRDefault="00FB60A2">
      <w:pPr>
        <w:widowControl/>
        <w:suppressAutoHyphens w:val="0"/>
        <w:ind w:left="5940"/>
        <w:jc w:val="right"/>
        <w:textAlignment w:val="auto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FB60A2" w:rsidRDefault="007409BA">
      <w:pPr>
        <w:widowControl/>
        <w:suppressAutoHyphens w:val="0"/>
        <w:ind w:left="594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УТВЕРЖДЕНА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постановлением Администрации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сельского поселения 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Тузлукушевский сельсовет 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 района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Белебеевский район</w:t>
      </w:r>
    </w:p>
    <w:p w:rsidR="00FB60A2" w:rsidRDefault="007409BA">
      <w:pPr>
        <w:widowControl/>
        <w:suppressAutoHyphens w:val="0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Республики Башкортостан </w:t>
      </w:r>
    </w:p>
    <w:p w:rsidR="00FB60A2" w:rsidRDefault="007409BA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                                                                                    от 02 декабря 2021 г.  № 53</w:t>
      </w:r>
    </w:p>
    <w:p w:rsidR="00FB60A2" w:rsidRDefault="00FB60A2">
      <w:pPr>
        <w:widowControl/>
        <w:suppressAutoHyphens w:val="0"/>
        <w:ind w:left="5940"/>
        <w:jc w:val="right"/>
        <w:textAlignment w:val="auto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FB60A2" w:rsidRDefault="00FB60A2">
      <w:pPr>
        <w:ind w:firstLine="155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B60A2" w:rsidRDefault="00FB60A2">
      <w:pPr>
        <w:ind w:firstLine="155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B60A2" w:rsidRDefault="007409B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Par44"/>
      <w:bookmarkEnd w:id="1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Программа</w:t>
      </w:r>
    </w:p>
    <w:p w:rsidR="00FB60A2" w:rsidRDefault="007409BA">
      <w:pPr>
        <w:widowControl/>
        <w:suppressAutoHyphens w:val="0"/>
        <w:jc w:val="center"/>
        <w:textAlignment w:val="auto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профилактики рисков причинения вреда (ущерба) охраняемым законом  ценностям при осуществлении</w:t>
      </w:r>
      <w:r>
        <w:rPr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на территории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сельского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поселения</w:t>
      </w:r>
    </w:p>
    <w:p w:rsidR="00FB60A2" w:rsidRDefault="007409BA">
      <w:pPr>
        <w:widowControl/>
        <w:suppressAutoHyphens w:val="0"/>
        <w:jc w:val="center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Тузлукушевский сельсовет  муниципального района Белебеевский район Республики Башкортостан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муниципального земельного контроля</w:t>
      </w:r>
    </w:p>
    <w:p w:rsidR="00FB60A2" w:rsidRDefault="007409BA">
      <w:pPr>
        <w:widowControl/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на 2022 год</w:t>
      </w:r>
    </w:p>
    <w:p w:rsidR="00FB60A2" w:rsidRDefault="00FB60A2">
      <w:pPr>
        <w:ind w:firstLine="709"/>
        <w:jc w:val="center"/>
        <w:rPr>
          <w:rFonts w:hint="eastAsia"/>
        </w:rPr>
      </w:pPr>
    </w:p>
    <w:p w:rsidR="00FB60A2" w:rsidRDefault="00FB60A2">
      <w:pPr>
        <w:spacing w:line="240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B60A2" w:rsidRDefault="007409BA">
      <w:pPr>
        <w:ind w:firstLine="709"/>
        <w:jc w:val="both"/>
        <w:rPr>
          <w:rFonts w:hint="eastAsia"/>
        </w:rPr>
      </w:pPr>
      <w:bookmarkStart w:id="2" w:name="Par94"/>
      <w:bookmarkEnd w:id="2"/>
      <w:r>
        <w:rPr>
          <w:rFonts w:ascii="Times New Roman" w:hAnsi="Times New Roman" w:cs="Times New Roman"/>
          <w:bCs/>
          <w:color w:val="000000"/>
          <w:sz w:val="28"/>
          <w:szCs w:val="28"/>
        </w:rPr>
        <w:t>Раздел I. Анализ текущего состояния осуществления муниципального земельного контроля, описание текущего ур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овня развития профилактической деятельности администрации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характеристика проблем, на решение которых направлена программа профилактики</w:t>
      </w:r>
    </w:p>
    <w:p w:rsidR="00FB60A2" w:rsidRDefault="00FB60A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60A2" w:rsidRDefault="007409BA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Настоящая программа разработана в соответствии со статьей 44 Федерального закона от 31 июля 2021 г.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2021 г.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 причинен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ия вреда (ущерба) охраняемым законом ценностям при осуществлении муниципального земельного контроля в границах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далее – муниципальный земельный 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онтроль).</w:t>
      </w:r>
    </w:p>
    <w:p w:rsidR="00FB60A2" w:rsidRDefault="007409BA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06 октября 2003 г. № 131-ФЗ «Об общих принципах организации местного самоуправления в Российской Федерации», Уставом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спублики Башкортостан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администрация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(далее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дминистраци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является уполномоченным органом по осуществлению муниципального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земельного контроля.</w:t>
      </w:r>
    </w:p>
    <w:p w:rsidR="00FB60A2" w:rsidRDefault="007409BA">
      <w:pPr>
        <w:ind w:firstLine="560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осуществлении муниципального земельного контроля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дминистраци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 контроль за соблюдением:</w:t>
      </w:r>
    </w:p>
    <w:p w:rsidR="00FB60A2" w:rsidRDefault="007409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обязательных требований о недопущении самовольного занятия земельных участков, в том числе использования зе</w:t>
      </w:r>
      <w:r>
        <w:rPr>
          <w:rFonts w:ascii="Times New Roman" w:hAnsi="Times New Roman" w:cs="Times New Roman"/>
          <w:color w:val="000000"/>
          <w:sz w:val="28"/>
          <w:szCs w:val="28"/>
        </w:rPr>
        <w:t>мельных участков лицом, не имеющим предусмотренных законодательством прав на них;</w:t>
      </w:r>
    </w:p>
    <w:p w:rsidR="00FB60A2" w:rsidRDefault="007409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(или) разрешенным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использованием;</w:t>
      </w:r>
    </w:p>
    <w:p w:rsidR="00FB60A2" w:rsidRDefault="007409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обязательных требований, связанных с обязательным использованием земельных участков, предназначенных для жилищного или иного строительства, садоводства, огородничества и личного подсобного хозяйства, в указанных целях в течение установле</w:t>
      </w:r>
      <w:r>
        <w:rPr>
          <w:rFonts w:ascii="Times New Roman" w:hAnsi="Times New Roman" w:cs="Times New Roman"/>
          <w:color w:val="000000"/>
          <w:sz w:val="28"/>
          <w:szCs w:val="28"/>
        </w:rPr>
        <w:t>нного срока;</w:t>
      </w:r>
    </w:p>
    <w:p w:rsidR="00FB60A2" w:rsidRDefault="007409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обязательных требований, связанных с обязанностью по приведению земельных участков в состояние, пригодное для использования по целевому назначению;</w:t>
      </w:r>
    </w:p>
    <w:p w:rsidR="00FB60A2" w:rsidRDefault="007409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 исполнения предписаний об устранении нарушений обязательных требований, выданных должност</w:t>
      </w:r>
      <w:r>
        <w:rPr>
          <w:rFonts w:ascii="Times New Roman" w:hAnsi="Times New Roman" w:cs="Times New Roman"/>
          <w:color w:val="000000"/>
          <w:sz w:val="28"/>
          <w:szCs w:val="28"/>
        </w:rPr>
        <w:t>ными лицами, уполномоченными осуществлять муниципальный земельный контроль, в пределах их компетенции.</w:t>
      </w:r>
    </w:p>
    <w:p w:rsidR="00FB60A2" w:rsidRDefault="007409BA">
      <w:pPr>
        <w:ind w:firstLine="560"/>
        <w:jc w:val="both"/>
        <w:rPr>
          <w:rFonts w:hint="eastAsi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Подконтрольными субъектами муниципального земельного контроля являются юридические лица, индивидуальные предприниматели и граждане, самовольно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земельные участки в границах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Республики Башкортостан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 так же обладающие правом владения, пользования, распоряжения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землями, земельными участками, частью земельного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участка в границах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сельского поселения Тузлукушевский сельсовет 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целях личного использования, ведения хозяйственной или иной деятельности, при котором могут быть допущены нарушения обязател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ьных требований, требований,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установленных муниципальными правовыми актами, </w:t>
      </w:r>
      <w:r>
        <w:rPr>
          <w:rFonts w:ascii="Times New Roman" w:hAnsi="Times New Roman" w:cs="Times New Roman"/>
          <w:color w:val="000000"/>
          <w:sz w:val="28"/>
          <w:szCs w:val="28"/>
        </w:rPr>
        <w:t>оценка соблюдения которых является предметом муниципального земельного контроля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Штатная численность должностных лиц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/>
          <w:bCs/>
          <w:color w:val="000000"/>
          <w:sz w:val="28"/>
          <w:szCs w:val="28"/>
        </w:rPr>
        <w:t>дминистраци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уполномоченных осуществлять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муниципальный земельный контроль в границах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 Тузлукушевский сельсовет  муниципального района Белебеевский район Республики Башкортостан,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2020 году составило 1 человек.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Основными отчетными показателями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дминистраци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в рамках осуществления муниципального земельного контроля являются: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bCs/>
          <w:color w:val="000000"/>
          <w:sz w:val="28"/>
          <w:szCs w:val="28"/>
        </w:rPr>
        <w:t>количество проведенных проверок</w:t>
      </w:r>
      <w:r>
        <w:rPr>
          <w:rFonts w:ascii="Times New Roman" w:hAnsi="Times New Roman"/>
          <w:color w:val="000000"/>
          <w:sz w:val="28"/>
          <w:szCs w:val="28"/>
        </w:rPr>
        <w:t xml:space="preserve"> соблюдения земельного законодательства Российской Федерации</w:t>
      </w:r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количество выявленных нарушений; 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количество выданных предписаний;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количест</w:t>
      </w:r>
      <w:r>
        <w:rPr>
          <w:rFonts w:ascii="Times New Roman" w:hAnsi="Times New Roman"/>
          <w:color w:val="000000"/>
          <w:sz w:val="28"/>
          <w:szCs w:val="28"/>
        </w:rPr>
        <w:t xml:space="preserve">во проведенных плановых (рейдовых) осмотров, обследований земельных участков;    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количество выданных предостережений о недопустимости административных правонарушений.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 рамках развития и осуществления профилактической деятельности на территории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 в 202</w:t>
      </w:r>
      <w:r>
        <w:rPr>
          <w:rFonts w:ascii="Times New Roman" w:eastAsia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году: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1) поддерживались в актуальном состоянии и размещались на официальном сайте Администрации сельского поселения в информационно-телекоммуникационной сети «Интернет» (далее - официальный сайт Администрации сельского поселения) перечни </w:t>
      </w:r>
      <w:r>
        <w:rPr>
          <w:rFonts w:ascii="Times New Roman" w:hAnsi="Times New Roman"/>
          <w:color w:val="000000"/>
          <w:sz w:val="28"/>
          <w:szCs w:val="28"/>
        </w:rPr>
        <w:t>нормативных правовых актов, содержащих обязательные требования, требования, установленные муниципальными правовыми актами, соблюдение которых оценивается при проведении мероприятий по контролю при осуществлении муниципального земельного контроля, а также т</w:t>
      </w:r>
      <w:r>
        <w:rPr>
          <w:rFonts w:ascii="Times New Roman" w:hAnsi="Times New Roman"/>
          <w:color w:val="000000"/>
          <w:sz w:val="28"/>
          <w:szCs w:val="28"/>
        </w:rPr>
        <w:t>ексты соответствующих нормативных правовых актов;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2) поддерживались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актуальном состоянии и размеща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официальном сайте Администрация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перечни обязательных требований, требований, установленных муниципальными правовыми актами, собл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юдение которых оценивается при проведении мероприятий  при осуществлении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земельн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контрол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3) поддерживались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актуальном состоянии размещенные на официальном сайте Администрации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перечни наиболее часто встречающихся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деятельности подконтрольных субъектов нарушений обязательных требований, требований, установленных муниципальными правовыми актами и рекомендации в отношении мер принимаемых подконтрольными субъектами в целях недопущения нарушений данных требований;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4) акт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уализировалось руководство по соблюдению обязательных требований, требований, установленных муниципальными правовыми актами размещенное на официальном сайте Администрации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5) обобщалась и анализировалась правоприменительная практика кон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трольной деятельности в рамках осуществления муниципального земельного контроля и размещался обзор правоприменительной практики на официальном сайте  Администрации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6) размещалась на официальном сайте Администрации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нформация о результатах осуществления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 земельного контроля;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7) осуществлялось консультирование по вопросам соблюдения обязательных требований, требований, установленных муниципальными правовыми актами;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8) проводились обследования земельных уч</w:t>
      </w:r>
      <w:r>
        <w:rPr>
          <w:rFonts w:ascii="Times New Roman" w:hAnsi="Times New Roman"/>
          <w:color w:val="000000"/>
          <w:sz w:val="28"/>
          <w:szCs w:val="28"/>
        </w:rPr>
        <w:t>астков.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По результатам осуществления муниципального земельного контроля в 2020 году, наиболее значимыми проблемами являются: 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1)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получение материальной выгоды и конкурентных преимуществ за счет уклонения от уплаты земельного налога, арендных платежей за по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льзование земельными участками, а также затрат на приобретение земельного участка в собственность на основании договора купли-продажи;</w:t>
      </w:r>
    </w:p>
    <w:p w:rsidR="00FB60A2" w:rsidRDefault="007409BA">
      <w:pPr>
        <w:pStyle w:val="20"/>
        <w:shd w:val="clear" w:color="auto" w:fill="auto"/>
        <w:spacing w:before="0" w:line="240" w:lineRule="auto"/>
        <w:ind w:right="-1" w:firstLine="709"/>
      </w:pPr>
      <w:r>
        <w:rPr>
          <w:color w:val="000000"/>
          <w:lang w:eastAsia="ru-RU" w:bidi="ru-RU"/>
        </w:rPr>
        <w:t>2) незнание подконтрольных лиц о наличии нарушений в связи с не проведением кадастровых работ, отсутствием сведений о мес</w:t>
      </w:r>
      <w:r>
        <w:rPr>
          <w:color w:val="000000"/>
          <w:lang w:eastAsia="ru-RU" w:bidi="ru-RU"/>
        </w:rPr>
        <w:t>тоположении границ земельного участка и его фактической площади;</w:t>
      </w:r>
    </w:p>
    <w:p w:rsidR="00FB60A2" w:rsidRDefault="007409BA">
      <w:pPr>
        <w:pStyle w:val="20"/>
        <w:shd w:val="clear" w:color="auto" w:fill="auto"/>
        <w:spacing w:before="0" w:line="240" w:lineRule="auto"/>
        <w:ind w:right="-1" w:firstLine="709"/>
      </w:pPr>
      <w:r>
        <w:rPr>
          <w:color w:val="000000"/>
          <w:lang w:eastAsia="ru-RU" w:bidi="ru-RU"/>
        </w:rPr>
        <w:t>3) отсутствие в законодательных актах Российской Федерации срока, в течение которого необходимо осуществить государственную регистрацию ранее возникшего права на земельный участок, а также не</w:t>
      </w:r>
      <w:r>
        <w:rPr>
          <w:color w:val="000000"/>
          <w:lang w:eastAsia="ru-RU" w:bidi="ru-RU"/>
        </w:rPr>
        <w:t>желание правообладателей нести затраты на проведение кадастровых работ и подачу документов для государственной регистрации права.</w:t>
      </w:r>
    </w:p>
    <w:p w:rsidR="00FB60A2" w:rsidRDefault="007409BA">
      <w:pPr>
        <w:pStyle w:val="af3"/>
        <w:spacing w:after="0" w:line="240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4) отсутствие денежных средств на строительство на земельных участках, предназначенных для жилищного или иного строительства.</w:t>
      </w:r>
    </w:p>
    <w:p w:rsidR="00FB60A2" w:rsidRDefault="00FB60A2">
      <w:pPr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60A2" w:rsidRDefault="00FB60A2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3" w:name="Par175"/>
      <w:bookmarkEnd w:id="3"/>
    </w:p>
    <w:p w:rsidR="00FB60A2" w:rsidRDefault="00FB60A2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B60A2" w:rsidRDefault="007409BA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Раздел II. Цели и задачи реализации программы профилактики</w:t>
      </w:r>
    </w:p>
    <w:p w:rsidR="00FB60A2" w:rsidRDefault="00FB60A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B60A2" w:rsidRDefault="007409BA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Основными целями программы профилактики являются:</w:t>
      </w:r>
    </w:p>
    <w:p w:rsidR="00FB60A2" w:rsidRDefault="007409BA">
      <w:pPr>
        <w:pStyle w:val="af3"/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Стимулирование добросовестного соблюдения обязательных требований всеми контролируемыми лицами; </w:t>
      </w:r>
    </w:p>
    <w:p w:rsidR="00FB60A2" w:rsidRDefault="007409BA">
      <w:pPr>
        <w:pStyle w:val="af3"/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Устранение условий, причин и факторов, </w:t>
      </w:r>
      <w:r>
        <w:rPr>
          <w:rFonts w:ascii="Times New Roman" w:hAnsi="Times New Roman"/>
          <w:color w:val="000000"/>
          <w:sz w:val="28"/>
          <w:szCs w:val="28"/>
        </w:rPr>
        <w:t>способных привести к нарушениям обязательных требований и (или) причинению вреда (ущерба) охраняемым законом ценностям;</w:t>
      </w:r>
    </w:p>
    <w:p w:rsidR="00FB60A2" w:rsidRDefault="007409BA">
      <w:pPr>
        <w:pStyle w:val="af3"/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B60A2" w:rsidRDefault="007409BA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едение профилактических мероприятий программы профилактики направлено на решение следующих задач:</w:t>
      </w:r>
    </w:p>
    <w:p w:rsidR="00FB60A2" w:rsidRDefault="007409BA">
      <w:pPr>
        <w:pStyle w:val="af3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Укрепление системы профилактики нарушений рисков причинения вреда (ущерба) охраняемым законом ценностям;</w:t>
      </w:r>
    </w:p>
    <w:p w:rsidR="00FB60A2" w:rsidRDefault="007409BA">
      <w:pPr>
        <w:pStyle w:val="af3"/>
        <w:numPr>
          <w:ilvl w:val="0"/>
          <w:numId w:val="10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iCs/>
          <w:color w:val="000000"/>
          <w:sz w:val="28"/>
          <w:szCs w:val="28"/>
        </w:rPr>
        <w:t>Повышение правосознания и правовой культуры руководит</w:t>
      </w:r>
      <w:r>
        <w:rPr>
          <w:rFonts w:ascii="Times New Roman" w:hAnsi="Times New Roman"/>
          <w:iCs/>
          <w:color w:val="000000"/>
          <w:sz w:val="28"/>
          <w:szCs w:val="28"/>
        </w:rPr>
        <w:t>елей  юридических лиц, индивидуальных предпринимателей и граждан;</w:t>
      </w:r>
    </w:p>
    <w:p w:rsidR="00FB60A2" w:rsidRDefault="007409BA">
      <w:pPr>
        <w:pStyle w:val="af3"/>
        <w:numPr>
          <w:ilvl w:val="0"/>
          <w:numId w:val="10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FB60A2" w:rsidRDefault="007409BA">
      <w:pPr>
        <w:pStyle w:val="af3"/>
        <w:numPr>
          <w:ilvl w:val="0"/>
          <w:numId w:val="10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Выявление факторов угрозы причинен</w:t>
      </w:r>
      <w:r>
        <w:rPr>
          <w:rFonts w:ascii="Times New Roman" w:hAnsi="Times New Roman"/>
          <w:color w:val="000000"/>
          <w:sz w:val="28"/>
          <w:szCs w:val="28"/>
        </w:rPr>
        <w:t>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угрозы.</w:t>
      </w:r>
    </w:p>
    <w:p w:rsidR="00FB60A2" w:rsidRDefault="007409BA">
      <w:pPr>
        <w:pStyle w:val="af3"/>
        <w:numPr>
          <w:ilvl w:val="0"/>
          <w:numId w:val="10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состояния подконтрольной среды и установление зависимости видов и интенсивнос</w:t>
      </w:r>
      <w:r>
        <w:rPr>
          <w:rFonts w:ascii="Times New Roman" w:hAnsi="Times New Roman"/>
          <w:color w:val="000000"/>
          <w:sz w:val="28"/>
          <w:szCs w:val="28"/>
        </w:rPr>
        <w:t xml:space="preserve">ти профилактических мероприятий от присвоенных контролируемым лицам уровней риска; </w:t>
      </w:r>
    </w:p>
    <w:p w:rsidR="00FB60A2" w:rsidRDefault="00FB60A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B60A2" w:rsidRDefault="007409BA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Раздел III. Перечень профилактических мероприятий, сроки (периодичность) их проведения</w:t>
      </w:r>
    </w:p>
    <w:p w:rsidR="00FB60A2" w:rsidRDefault="00FB60A2">
      <w:pPr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W w:w="99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181"/>
        <w:gridCol w:w="2127"/>
        <w:gridCol w:w="4110"/>
      </w:tblGrid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>№ п/п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</w:rPr>
              <w:t>Срок исполнения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Ответственное должностное лицо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1.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Информирование</w:t>
            </w:r>
          </w:p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 вопросам соблюдения обязательных требований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  2.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в срок до 1 июля 2022 года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3.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Объявление предостережений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Постоянно при наличии оснований, предусмотренных статьей 49 Федерального закона от 31.07.2020 № 248-ФЗ «О государ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ственном контроле (надзоре) и муниципальном контроле в Российской Федерации»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Консультирование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 мере обращения подконтрольных субъектов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pStyle w:val="ConsPlusNormal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Профилактический визит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I - IV квартал</w:t>
            </w:r>
          </w:p>
          <w:p w:rsidR="00FB60A2" w:rsidRDefault="007409B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года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осуществление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муниципального контроля  </w:t>
            </w:r>
          </w:p>
        </w:tc>
      </w:tr>
    </w:tbl>
    <w:p w:rsidR="00FB60A2" w:rsidRDefault="00FB60A2">
      <w:pPr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FB60A2" w:rsidRDefault="007409B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Консультирование контролируемых лиц осуществляется должностным лицом, уполномоченным осуществлять муниципальный земельный контроль по телефону, либо в ходе проведения профилактических мероприятий, контрольных мероприятий и не до</w:t>
      </w:r>
      <w:r>
        <w:rPr>
          <w:rFonts w:ascii="Times New Roman" w:hAnsi="Times New Roman" w:cs="Times New Roman"/>
          <w:color w:val="000000"/>
          <w:sz w:val="28"/>
          <w:szCs w:val="28"/>
        </w:rPr>
        <w:t>лжно превышать 15 минут.</w:t>
      </w:r>
    </w:p>
    <w:p w:rsidR="00FB60A2" w:rsidRDefault="007409B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Консультирование осуществляется в устной или письменной форме по следующим вопросам: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организация и осуществление муниципального земельного контроля;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порядок осуществления контрольных мероприятий;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порядок обжалования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действий (бездействия) должностных лиц, уполномоченных осуществлять муниципальный земельный контроль;</w:t>
      </w:r>
    </w:p>
    <w:p w:rsidR="00FB60A2" w:rsidRDefault="007409BA">
      <w:pPr>
        <w:pStyle w:val="ConsPlusNormal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ся Администрацией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контрольных мероприятий.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Консультирование в письменной форме осуществляется должностным лицом, уполномоченным осуществлять муниципальный земельный контроль, в следующих случаях: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контролируемым лицом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представлен письменный запрос о представлении письменного ответа по вопросам консультирования;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за время консультирования предоставить ответ на поставленные вопросы невозможно;</w:t>
      </w:r>
    </w:p>
    <w:p w:rsidR="00FB60A2" w:rsidRDefault="007409BA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ответ на поставленные вопросы требует дополнительного запроса сведений.</w:t>
      </w:r>
    </w:p>
    <w:p w:rsidR="00FB60A2" w:rsidRDefault="00FB60A2">
      <w:pPr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FB60A2" w:rsidRDefault="007409BA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аздел IV. Показатели результативности и эффективности программы профилактики</w:t>
      </w:r>
    </w:p>
    <w:p w:rsidR="00FB60A2" w:rsidRDefault="00FB60A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4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6232"/>
        <w:gridCol w:w="2557"/>
      </w:tblGrid>
      <w:tr w:rsidR="00FB60A2">
        <w:tblPrEx>
          <w:tblCellMar>
            <w:top w:w="0" w:type="dxa"/>
            <w:bottom w:w="0" w:type="dxa"/>
          </w:tblCellMar>
        </w:tblPrEx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Величина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Полнота информации, размещенной на официальном сайте Администрации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соответствии с частью 3 статьи 46 Федерального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100 %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Удовлетворенность контролируемых лиц и их представителями консультированием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100 % от числа обратившихся</w:t>
            </w:r>
          </w:p>
        </w:tc>
      </w:tr>
      <w:tr w:rsidR="00FB60A2">
        <w:tblPrEx>
          <w:tblCellMar>
            <w:top w:w="0" w:type="dxa"/>
            <w:bottom w:w="0" w:type="dxa"/>
          </w:tblCellMar>
        </w:tblPrEx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пров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еденных профилактических мероприятий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60A2" w:rsidRDefault="007409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 20 мероприятий, проведенных контрольным органом</w:t>
            </w:r>
          </w:p>
        </w:tc>
      </w:tr>
    </w:tbl>
    <w:p w:rsidR="00FB60A2" w:rsidRDefault="00FB60A2">
      <w:pPr>
        <w:shd w:val="clear" w:color="auto" w:fill="FFFFFF"/>
        <w:spacing w:line="240" w:lineRule="exac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B60A2" w:rsidRDefault="00FB60A2">
      <w:pPr>
        <w:shd w:val="clear" w:color="auto" w:fill="FFFFFF"/>
        <w:spacing w:line="240" w:lineRule="exac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B60A2" w:rsidRDefault="00FB60A2">
      <w:pPr>
        <w:shd w:val="clear" w:color="auto" w:fill="FFFFFF"/>
        <w:spacing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B60A2" w:rsidRDefault="00FB60A2">
      <w:pPr>
        <w:spacing w:line="216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B60A2" w:rsidRDefault="00FB60A2">
      <w:pPr>
        <w:jc w:val="both"/>
        <w:rPr>
          <w:rFonts w:hint="eastAsia"/>
          <w:sz w:val="28"/>
          <w:szCs w:val="28"/>
        </w:rPr>
      </w:pPr>
    </w:p>
    <w:sectPr w:rsidR="00FB60A2">
      <w:pgSz w:w="11906" w:h="16838"/>
      <w:pgMar w:top="426" w:right="849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9BA" w:rsidRDefault="007409BA">
      <w:pPr>
        <w:rPr>
          <w:rFonts w:hint="eastAsia"/>
        </w:rPr>
      </w:pPr>
      <w:r>
        <w:separator/>
      </w:r>
    </w:p>
  </w:endnote>
  <w:endnote w:type="continuationSeparator" w:id="0">
    <w:p w:rsidR="007409BA" w:rsidRDefault="007409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9BA" w:rsidRDefault="007409B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409BA" w:rsidRDefault="007409B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622BD"/>
    <w:multiLevelType w:val="multilevel"/>
    <w:tmpl w:val="AC6C3212"/>
    <w:styleLink w:val="WW8Num7"/>
    <w:lvl w:ilvl="0">
      <w:start w:val="5"/>
      <w:numFmt w:val="decimal"/>
      <w:lvlText w:val="%1."/>
      <w:lvlJc w:val="left"/>
      <w:rPr>
        <w:rFonts w:ascii="Times New Roman" w:hAnsi="Times New Roman" w:cs="Times New Roman"/>
        <w:sz w:val="28"/>
        <w:szCs w:val="28"/>
      </w:rPr>
    </w:lvl>
    <w:lvl w:ilvl="1">
      <w:start w:val="3"/>
      <w:numFmt w:val="decimal"/>
      <w:lvlText w:val="%1.%2."/>
      <w:lvlJc w:val="left"/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sz w:val="28"/>
        <w:szCs w:val="28"/>
      </w:rPr>
    </w:lvl>
  </w:abstractNum>
  <w:abstractNum w:abstractNumId="1">
    <w:nsid w:val="13F373F6"/>
    <w:multiLevelType w:val="multilevel"/>
    <w:tmpl w:val="C890EDE0"/>
    <w:styleLink w:val="WW8Num8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sz w:val="26"/>
        <w:szCs w:val="26"/>
      </w:rPr>
    </w:lvl>
  </w:abstractNum>
  <w:abstractNum w:abstractNumId="2">
    <w:nsid w:val="292705D8"/>
    <w:multiLevelType w:val="multilevel"/>
    <w:tmpl w:val="A1885DE2"/>
    <w:styleLink w:val="WW8Num6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6"/>
        <w:szCs w:val="26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sz w:val="26"/>
        <w:szCs w:val="26"/>
      </w:rPr>
    </w:lvl>
  </w:abstractNum>
  <w:abstractNum w:abstractNumId="3">
    <w:nsid w:val="2E5D6C1E"/>
    <w:multiLevelType w:val="multilevel"/>
    <w:tmpl w:val="1DE2BB8C"/>
    <w:styleLink w:val="WW8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38BF2B74"/>
    <w:multiLevelType w:val="multilevel"/>
    <w:tmpl w:val="6E24C17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C6E0382"/>
    <w:multiLevelType w:val="multilevel"/>
    <w:tmpl w:val="8E582D62"/>
    <w:styleLink w:val="WW8Num5"/>
    <w:lvl w:ilvl="0">
      <w:start w:val="5"/>
      <w:numFmt w:val="decimal"/>
      <w:lvlText w:val="%1."/>
      <w:lvlJc w:val="left"/>
      <w:rPr>
        <w:rFonts w:ascii="Times New Roman" w:hAnsi="Times New Roman" w:cs="Times New Roman"/>
        <w:sz w:val="26"/>
        <w:szCs w:val="26"/>
      </w:rPr>
    </w:lvl>
    <w:lvl w:ilvl="1">
      <w:start w:val="6"/>
      <w:numFmt w:val="decimal"/>
      <w:lvlText w:val="%1.%2."/>
      <w:lvlJc w:val="left"/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sz w:val="26"/>
        <w:szCs w:val="26"/>
      </w:rPr>
    </w:lvl>
  </w:abstractNum>
  <w:abstractNum w:abstractNumId="6">
    <w:nsid w:val="3E0866D8"/>
    <w:multiLevelType w:val="multilevel"/>
    <w:tmpl w:val="6D421744"/>
    <w:styleLink w:val="WW8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50AF22FE"/>
    <w:multiLevelType w:val="multilevel"/>
    <w:tmpl w:val="66A8D50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7D11B26"/>
    <w:multiLevelType w:val="multilevel"/>
    <w:tmpl w:val="8FA069C8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>
    <w:nsid w:val="73555377"/>
    <w:multiLevelType w:val="multilevel"/>
    <w:tmpl w:val="984C10E4"/>
    <w:styleLink w:val="WW8Num3"/>
    <w:lvl w:ilvl="0">
      <w:start w:val="3"/>
      <w:numFmt w:val="decimal"/>
      <w:lvlText w:val="%1."/>
      <w:lvlJc w:val="left"/>
      <w:rPr>
        <w:rFonts w:ascii="Times New Roman" w:hAnsi="Times New Roman" w:cs="Times New Roman"/>
        <w:bCs/>
        <w:sz w:val="26"/>
        <w:szCs w:val="26"/>
      </w:rPr>
    </w:lvl>
    <w:lvl w:ilvl="1">
      <w:start w:val="3"/>
      <w:numFmt w:val="decimal"/>
      <w:lvlText w:val="%1.%2."/>
      <w:lvlJc w:val="left"/>
      <w:rPr>
        <w:rFonts w:ascii="Times New Roman" w:hAnsi="Times New Roman" w:cs="Times New Roman"/>
        <w:bCs/>
        <w:sz w:val="26"/>
        <w:szCs w:val="26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Cs/>
        <w:sz w:val="26"/>
        <w:szCs w:val="26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Cs/>
        <w:sz w:val="26"/>
        <w:szCs w:val="26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bCs/>
        <w:sz w:val="26"/>
        <w:szCs w:val="26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  <w:bCs/>
        <w:sz w:val="26"/>
        <w:szCs w:val="26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bCs/>
        <w:sz w:val="26"/>
        <w:szCs w:val="26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  <w:bCs/>
        <w:sz w:val="26"/>
        <w:szCs w:val="26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attachedTemplate r:id="rId1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B60A2"/>
    <w:rsid w:val="007409BA"/>
    <w:rsid w:val="00C64D2F"/>
    <w:rsid w:val="00FB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Heading"/>
    <w:next w:val="Textbody"/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Title">
    <w:name w:val="ConsPlusTitle"/>
    <w:pPr>
      <w:suppressAutoHyphens/>
      <w:autoSpaceDE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DocList">
    <w:name w:val="ConsPlusDocList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TitlePage">
    <w:name w:val="ConsPlusTitlePage"/>
    <w:pPr>
      <w:suppressAutoHyphens/>
      <w:autoSpaceDE w:val="0"/>
    </w:pPr>
    <w:rPr>
      <w:rFonts w:ascii="Tahoma" w:eastAsia="Times New Roman" w:hAnsi="Tahoma" w:cs="Tahoma"/>
      <w:sz w:val="20"/>
      <w:szCs w:val="20"/>
      <w:lang w:bidi="ar-SA"/>
    </w:rPr>
  </w:style>
  <w:style w:type="paragraph" w:customStyle="1" w:styleId="ConsPlusJurTerm">
    <w:name w:val="ConsPlusJurTerm"/>
    <w:pPr>
      <w:suppressAutoHyphens/>
      <w:autoSpaceDE w:val="0"/>
    </w:pPr>
    <w:rPr>
      <w:rFonts w:ascii="Tahoma" w:eastAsia="Times New Roman" w:hAnsi="Tahoma" w:cs="Tahoma"/>
      <w:sz w:val="26"/>
      <w:szCs w:val="26"/>
      <w:lang w:bidi="ar-SA"/>
    </w:rPr>
  </w:style>
  <w:style w:type="paragraph" w:customStyle="1" w:styleId="ConsPlusTextList">
    <w:name w:val="ConsPlusTextList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TextList1">
    <w:name w:val="ConsPlusTextList1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Footnote">
    <w:name w:val="Footnote"/>
    <w:basedOn w:val="Standard"/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Quotations">
    <w:name w:val="Quotations"/>
    <w:basedOn w:val="Standard"/>
  </w:style>
  <w:style w:type="paragraph" w:styleId="a8">
    <w:name w:val="Subtitle"/>
    <w:basedOn w:val="Heading"/>
    <w:next w:val="Textbody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bCs/>
      <w:sz w:val="26"/>
      <w:szCs w:val="26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  <w:rPr>
      <w:rFonts w:ascii="Times New Roman" w:hAnsi="Times New Roman" w:cs="Times New Roman"/>
      <w:sz w:val="26"/>
      <w:szCs w:val="26"/>
    </w:rPr>
  </w:style>
  <w:style w:type="character" w:customStyle="1" w:styleId="WW8Num6z0">
    <w:name w:val="WW8Num6z0"/>
    <w:rPr>
      <w:rFonts w:ascii="Times New Roman" w:hAnsi="Times New Roman" w:cs="Times New Roman"/>
      <w:sz w:val="26"/>
      <w:szCs w:val="26"/>
    </w:rPr>
  </w:style>
  <w:style w:type="character" w:customStyle="1" w:styleId="WW8Num7z0">
    <w:name w:val="WW8Num7z0"/>
    <w:rPr>
      <w:rFonts w:ascii="Times New Roman" w:hAnsi="Times New Roman" w:cs="Times New Roman"/>
      <w:sz w:val="28"/>
      <w:szCs w:val="28"/>
    </w:rPr>
  </w:style>
  <w:style w:type="character" w:customStyle="1" w:styleId="WW8Num8z0">
    <w:name w:val="WW8Num8z0"/>
    <w:rPr>
      <w:rFonts w:ascii="Times New Roman" w:hAnsi="Times New Roman" w:cs="Times New Roman"/>
      <w:sz w:val="26"/>
      <w:szCs w:val="26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3z1">
    <w:name w:val="WW8Num3z1"/>
    <w:rPr>
      <w:rFonts w:cs="Times New Roman"/>
    </w:rPr>
  </w:style>
  <w:style w:type="character" w:customStyle="1" w:styleId="WW8Num9z0">
    <w:name w:val="WW8Num9z0"/>
    <w:rPr>
      <w:rFonts w:cs="Times New Roman"/>
    </w:rPr>
  </w:style>
  <w:style w:type="character" w:customStyle="1" w:styleId="a9">
    <w:name w:val="Текст выноски Знак"/>
    <w:rPr>
      <w:rFonts w:ascii="Tahoma" w:hAnsi="Tahoma" w:cs="Times New Roman"/>
      <w:sz w:val="16"/>
    </w:rPr>
  </w:style>
  <w:style w:type="character" w:customStyle="1" w:styleId="aa">
    <w:name w:val="Верхний колонтитул Знак"/>
    <w:rPr>
      <w:rFonts w:cs="Times New Roman"/>
    </w:rPr>
  </w:style>
  <w:style w:type="character" w:customStyle="1" w:styleId="ab">
    <w:name w:val="Нижний колонтитул Знак"/>
    <w:rPr>
      <w:rFonts w:cs="Times New Roman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ac">
    <w:name w:val="Текст сноски Знак"/>
    <w:rPr>
      <w:rFonts w:cs="Times New Roman"/>
    </w:rPr>
  </w:style>
  <w:style w:type="character" w:customStyle="1" w:styleId="FootnoteSymbol">
    <w:name w:val="Footnote Symbol"/>
    <w:rPr>
      <w:rFonts w:cs="Times New Roman"/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">
    <w:name w:val="WW-Символы концевой сноски"/>
  </w:style>
  <w:style w:type="character" w:customStyle="1" w:styleId="ad">
    <w:name w:val="Символ концевой сноски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ListLabel1">
    <w:name w:val="ListLabel 1"/>
    <w:rPr>
      <w:rFonts w:ascii="Times New Roman" w:hAnsi="Times New Roman" w:cs="Times New Roman"/>
      <w:sz w:val="28"/>
      <w:szCs w:val="28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styleId="ae">
    <w:name w:val="footnote reference"/>
    <w:basedOn w:val="a0"/>
    <w:rPr>
      <w:position w:val="0"/>
      <w:vertAlign w:val="superscript"/>
    </w:rPr>
  </w:style>
  <w:style w:type="character" w:styleId="af">
    <w:name w:val="Hyperlink"/>
    <w:rPr>
      <w:color w:val="000080"/>
      <w:u w:val="single"/>
    </w:rPr>
  </w:style>
  <w:style w:type="paragraph" w:styleId="af0">
    <w:name w:val="Body Text Indent"/>
    <w:basedOn w:val="a"/>
    <w:pPr>
      <w:widowControl/>
      <w:spacing w:after="120"/>
      <w:ind w:left="283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character" w:customStyle="1" w:styleId="af1">
    <w:name w:val="Основной текст с отступом Знак"/>
    <w:basedOn w:val="a0"/>
    <w:rPr>
      <w:rFonts w:ascii="Times New Roman" w:eastAsia="Times New Roman" w:hAnsi="Times New Roman" w:cs="Times New Roman"/>
      <w:kern w:val="0"/>
      <w:lang w:bidi="ar-SA"/>
    </w:rPr>
  </w:style>
  <w:style w:type="character" w:styleId="af2">
    <w:name w:val="Emphasis"/>
    <w:basedOn w:val="a0"/>
    <w:rPr>
      <w:i/>
      <w:iCs/>
    </w:rPr>
  </w:style>
  <w:style w:type="character" w:customStyle="1" w:styleId="blk">
    <w:name w:val="blk"/>
  </w:style>
  <w:style w:type="paragraph" w:styleId="af3">
    <w:name w:val="List Paragraph"/>
    <w:basedOn w:val="a"/>
    <w:pPr>
      <w:widowControl/>
      <w:spacing w:after="200" w:line="276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pPr>
      <w:shd w:val="clear" w:color="auto" w:fill="FFFFFF"/>
      <w:spacing w:before="420" w:line="480" w:lineRule="exact"/>
      <w:jc w:val="both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eastAsia="en-US" w:bidi="ar-SA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Heading"/>
    <w:next w:val="Textbody"/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Title">
    <w:name w:val="ConsPlusTitle"/>
    <w:pPr>
      <w:suppressAutoHyphens/>
      <w:autoSpaceDE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DocList">
    <w:name w:val="ConsPlusDocList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TitlePage">
    <w:name w:val="ConsPlusTitlePage"/>
    <w:pPr>
      <w:suppressAutoHyphens/>
      <w:autoSpaceDE w:val="0"/>
    </w:pPr>
    <w:rPr>
      <w:rFonts w:ascii="Tahoma" w:eastAsia="Times New Roman" w:hAnsi="Tahoma" w:cs="Tahoma"/>
      <w:sz w:val="20"/>
      <w:szCs w:val="20"/>
      <w:lang w:bidi="ar-SA"/>
    </w:rPr>
  </w:style>
  <w:style w:type="paragraph" w:customStyle="1" w:styleId="ConsPlusJurTerm">
    <w:name w:val="ConsPlusJurTerm"/>
    <w:pPr>
      <w:suppressAutoHyphens/>
      <w:autoSpaceDE w:val="0"/>
    </w:pPr>
    <w:rPr>
      <w:rFonts w:ascii="Tahoma" w:eastAsia="Times New Roman" w:hAnsi="Tahoma" w:cs="Tahoma"/>
      <w:sz w:val="26"/>
      <w:szCs w:val="26"/>
      <w:lang w:bidi="ar-SA"/>
    </w:rPr>
  </w:style>
  <w:style w:type="paragraph" w:customStyle="1" w:styleId="ConsPlusTextList">
    <w:name w:val="ConsPlusTextList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TextList1">
    <w:name w:val="ConsPlusTextList1"/>
    <w:pPr>
      <w:suppressAutoHyphens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Standard"/>
    <w:pPr>
      <w:tabs>
        <w:tab w:val="center" w:pos="4677"/>
        <w:tab w:val="right" w:pos="9355"/>
      </w:tabs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Footnote">
    <w:name w:val="Footnote"/>
    <w:basedOn w:val="Standard"/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Quotations">
    <w:name w:val="Quotations"/>
    <w:basedOn w:val="Standard"/>
  </w:style>
  <w:style w:type="paragraph" w:styleId="a8">
    <w:name w:val="Subtitle"/>
    <w:basedOn w:val="Heading"/>
    <w:next w:val="Textbody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bCs/>
      <w:sz w:val="26"/>
      <w:szCs w:val="26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  <w:rPr>
      <w:rFonts w:ascii="Times New Roman" w:hAnsi="Times New Roman" w:cs="Times New Roman"/>
      <w:sz w:val="26"/>
      <w:szCs w:val="26"/>
    </w:rPr>
  </w:style>
  <w:style w:type="character" w:customStyle="1" w:styleId="WW8Num6z0">
    <w:name w:val="WW8Num6z0"/>
    <w:rPr>
      <w:rFonts w:ascii="Times New Roman" w:hAnsi="Times New Roman" w:cs="Times New Roman"/>
      <w:sz w:val="26"/>
      <w:szCs w:val="26"/>
    </w:rPr>
  </w:style>
  <w:style w:type="character" w:customStyle="1" w:styleId="WW8Num7z0">
    <w:name w:val="WW8Num7z0"/>
    <w:rPr>
      <w:rFonts w:ascii="Times New Roman" w:hAnsi="Times New Roman" w:cs="Times New Roman"/>
      <w:sz w:val="28"/>
      <w:szCs w:val="28"/>
    </w:rPr>
  </w:style>
  <w:style w:type="character" w:customStyle="1" w:styleId="WW8Num8z0">
    <w:name w:val="WW8Num8z0"/>
    <w:rPr>
      <w:rFonts w:ascii="Times New Roman" w:hAnsi="Times New Roman" w:cs="Times New Roman"/>
      <w:sz w:val="26"/>
      <w:szCs w:val="26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3z1">
    <w:name w:val="WW8Num3z1"/>
    <w:rPr>
      <w:rFonts w:cs="Times New Roman"/>
    </w:rPr>
  </w:style>
  <w:style w:type="character" w:customStyle="1" w:styleId="WW8Num9z0">
    <w:name w:val="WW8Num9z0"/>
    <w:rPr>
      <w:rFonts w:cs="Times New Roman"/>
    </w:rPr>
  </w:style>
  <w:style w:type="character" w:customStyle="1" w:styleId="a9">
    <w:name w:val="Текст выноски Знак"/>
    <w:rPr>
      <w:rFonts w:ascii="Tahoma" w:hAnsi="Tahoma" w:cs="Times New Roman"/>
      <w:sz w:val="16"/>
    </w:rPr>
  </w:style>
  <w:style w:type="character" w:customStyle="1" w:styleId="aa">
    <w:name w:val="Верхний колонтитул Знак"/>
    <w:rPr>
      <w:rFonts w:cs="Times New Roman"/>
    </w:rPr>
  </w:style>
  <w:style w:type="character" w:customStyle="1" w:styleId="ab">
    <w:name w:val="Нижний колонтитул Знак"/>
    <w:rPr>
      <w:rFonts w:cs="Times New Roman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ac">
    <w:name w:val="Текст сноски Знак"/>
    <w:rPr>
      <w:rFonts w:cs="Times New Roman"/>
    </w:rPr>
  </w:style>
  <w:style w:type="character" w:customStyle="1" w:styleId="FootnoteSymbol">
    <w:name w:val="Footnote Symbol"/>
    <w:rPr>
      <w:rFonts w:cs="Times New Roman"/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">
    <w:name w:val="WW-Символы концевой сноски"/>
  </w:style>
  <w:style w:type="character" w:customStyle="1" w:styleId="ad">
    <w:name w:val="Символ концевой сноски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ListLabel1">
    <w:name w:val="ListLabel 1"/>
    <w:rPr>
      <w:rFonts w:ascii="Times New Roman" w:hAnsi="Times New Roman" w:cs="Times New Roman"/>
      <w:sz w:val="28"/>
      <w:szCs w:val="28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styleId="ae">
    <w:name w:val="footnote reference"/>
    <w:basedOn w:val="a0"/>
    <w:rPr>
      <w:position w:val="0"/>
      <w:vertAlign w:val="superscript"/>
    </w:rPr>
  </w:style>
  <w:style w:type="character" w:styleId="af">
    <w:name w:val="Hyperlink"/>
    <w:rPr>
      <w:color w:val="000080"/>
      <w:u w:val="single"/>
    </w:rPr>
  </w:style>
  <w:style w:type="paragraph" w:styleId="af0">
    <w:name w:val="Body Text Indent"/>
    <w:basedOn w:val="a"/>
    <w:pPr>
      <w:widowControl/>
      <w:spacing w:after="120"/>
      <w:ind w:left="283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character" w:customStyle="1" w:styleId="af1">
    <w:name w:val="Основной текст с отступом Знак"/>
    <w:basedOn w:val="a0"/>
    <w:rPr>
      <w:rFonts w:ascii="Times New Roman" w:eastAsia="Times New Roman" w:hAnsi="Times New Roman" w:cs="Times New Roman"/>
      <w:kern w:val="0"/>
      <w:lang w:bidi="ar-SA"/>
    </w:rPr>
  </w:style>
  <w:style w:type="character" w:styleId="af2">
    <w:name w:val="Emphasis"/>
    <w:basedOn w:val="a0"/>
    <w:rPr>
      <w:i/>
      <w:iCs/>
    </w:rPr>
  </w:style>
  <w:style w:type="character" w:customStyle="1" w:styleId="blk">
    <w:name w:val="blk"/>
  </w:style>
  <w:style w:type="paragraph" w:styleId="af3">
    <w:name w:val="List Paragraph"/>
    <w:basedOn w:val="a"/>
    <w:pPr>
      <w:widowControl/>
      <w:spacing w:after="200" w:line="276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pPr>
      <w:shd w:val="clear" w:color="auto" w:fill="FFFFFF"/>
      <w:spacing w:before="420" w:line="480" w:lineRule="exact"/>
      <w:jc w:val="both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eastAsia="en-US" w:bidi="ar-SA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1866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10.02.2017 N 166(ред. от 21.03.2019)"Об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</vt:lpstr>
    </vt:vector>
  </TitlesOfParts>
  <Company/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10.02.2017 N 166(ред. от 21.03.2019)"Об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предостережения"</dc:title>
  <dc:creator>Лейба Алексей Леонидович</dc:creator>
  <cp:lastModifiedBy>User Windows</cp:lastModifiedBy>
  <cp:revision>2</cp:revision>
  <cp:lastPrinted>2021-08-12T05:52:00Z</cp:lastPrinted>
  <dcterms:created xsi:type="dcterms:W3CDTF">2021-12-08T09:18:00Z</dcterms:created>
  <dcterms:modified xsi:type="dcterms:W3CDTF">2021-12-08T09:18:00Z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4020.00.28</vt:lpwstr>
  </property>
</Properties>
</file>